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EA263E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="008F0206">
        <w:rPr>
          <w:rFonts w:ascii="Times New Roman" w:hAnsi="Times New Roman" w:cs="Times New Roman"/>
          <w:sz w:val="27"/>
          <w:szCs w:val="27"/>
        </w:rPr>
        <w:t>951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="008F0206">
        <w:rPr>
          <w:rFonts w:ascii="Times New Roman" w:hAnsi="Times New Roman" w:cs="Times New Roman"/>
          <w:sz w:val="27"/>
          <w:szCs w:val="27"/>
        </w:rPr>
        <w:t>68</w:t>
      </w:r>
      <w:r w:rsidR="00807B38">
        <w:rPr>
          <w:rFonts w:ascii="Times New Roman" w:hAnsi="Times New Roman" w:cs="Times New Roman"/>
          <w:sz w:val="27"/>
          <w:szCs w:val="27"/>
        </w:rPr>
        <w:t>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="008F0206">
        <w:rPr>
          <w:rFonts w:ascii="Times New Roman" w:hAnsi="Times New Roman" w:cs="Times New Roman"/>
          <w:sz w:val="27"/>
          <w:szCs w:val="27"/>
        </w:rPr>
        <w:t>951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="008F0206">
        <w:rPr>
          <w:sz w:val="27"/>
          <w:szCs w:val="27"/>
        </w:rPr>
        <w:t>0412365400175001822520158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8F0206">
        <w:rPr>
          <w:sz w:val="26"/>
          <w:szCs w:val="26"/>
        </w:rPr>
        <w:t>ходится в материалах дела №5-182</w:t>
      </w:r>
      <w:r>
        <w:rPr>
          <w:sz w:val="26"/>
          <w:szCs w:val="26"/>
        </w:rPr>
        <w:t>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5-182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8F0206">
      <w:rPr>
        <w:sz w:val="22"/>
        <w:szCs w:val="22"/>
      </w:rPr>
      <w:t>0017-01-2025-000630-32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F43"/>
    <w:rsid w:val="00D654E0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263E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00DC"/>
    <w:rsid w:val="00F47041"/>
    <w:rsid w:val="00F51C6D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F79E23-A1FD-4C4F-8CA4-E14C4444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